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200"/>
        </w:tabs>
        <w:spacing w:afterLines="0" w:line="240" w:lineRule="auto"/>
        <w:jc w:val="center"/>
        <w:rPr>
          <w:rFonts w:hint="default" w:ascii="Times New Roman" w:hAnsi="Times New Roman" w:eastAsia="方正小标宋简体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/>
          <w:bCs/>
          <w:sz w:val="36"/>
          <w:szCs w:val="36"/>
          <w:highlight w:val="none"/>
        </w:rPr>
        <w:t>建设信息基础设施和</w:t>
      </w:r>
      <w:r>
        <w:rPr>
          <w:rFonts w:hint="default" w:ascii="Times New Roman" w:hAnsi="Times New Roman" w:eastAsia="方正小标宋简体"/>
          <w:bCs/>
          <w:sz w:val="36"/>
          <w:szCs w:val="36"/>
          <w:highlight w:val="none"/>
          <w:lang w:eastAsia="zh-CN"/>
        </w:rPr>
        <w:t>推进产</w:t>
      </w:r>
      <w:r>
        <w:rPr>
          <w:rFonts w:hint="default" w:ascii="Times New Roman" w:hAnsi="Times New Roman" w:eastAsia="方正小标宋简体"/>
          <w:bCs/>
          <w:sz w:val="36"/>
          <w:szCs w:val="36"/>
          <w:highlight w:val="none"/>
        </w:rPr>
        <w:t>业数字化成效</w:t>
      </w:r>
    </w:p>
    <w:p>
      <w:pPr>
        <w:widowControl/>
        <w:tabs>
          <w:tab w:val="left" w:pos="7200"/>
        </w:tabs>
        <w:spacing w:afterLines="0" w:line="240" w:lineRule="auto"/>
        <w:jc w:val="center"/>
        <w:rPr>
          <w:rFonts w:hint="default" w:ascii="Times New Roman" w:hAnsi="Times New Roman" w:eastAsia="方正小标宋简体"/>
          <w:bCs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/>
          <w:bCs/>
          <w:sz w:val="36"/>
          <w:szCs w:val="36"/>
          <w:highlight w:val="none"/>
        </w:rPr>
        <w:t>明显</w:t>
      </w:r>
      <w:r>
        <w:rPr>
          <w:rFonts w:hint="eastAsia" w:ascii="Times New Roman" w:hAnsi="Times New Roman" w:eastAsia="方正小标宋简体"/>
          <w:bCs/>
          <w:sz w:val="36"/>
          <w:szCs w:val="36"/>
          <w:highlight w:val="none"/>
          <w:lang w:eastAsia="zh-CN"/>
        </w:rPr>
        <w:t>市（州）</w:t>
      </w:r>
      <w:r>
        <w:rPr>
          <w:rFonts w:hint="default" w:ascii="Times New Roman" w:hAnsi="Times New Roman" w:eastAsia="方正小标宋简体"/>
          <w:bCs/>
          <w:sz w:val="36"/>
          <w:szCs w:val="36"/>
          <w:highlight w:val="none"/>
          <w:lang w:eastAsia="zh-CN"/>
        </w:rPr>
        <w:t>推荐表</w:t>
      </w:r>
    </w:p>
    <w:p>
      <w:pPr>
        <w:spacing w:line="240" w:lineRule="auto"/>
        <w:jc w:val="center"/>
        <w:rPr>
          <w:rFonts w:ascii="Times New Roman" w:hAnsi="Times New Roman" w:eastAsia="黑体"/>
          <w:sz w:val="52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48"/>
          <w:szCs w:val="48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52"/>
        </w:rPr>
      </w:pPr>
    </w:p>
    <w:p>
      <w:pPr>
        <w:spacing w:line="240" w:lineRule="auto"/>
        <w:ind w:firstLine="469" w:firstLineChars="132"/>
        <w:rPr>
          <w:rFonts w:ascii="Times New Roman" w:hAnsi="Times New Roman" w:eastAsia="黑体"/>
          <w:spacing w:val="38"/>
          <w:sz w:val="28"/>
        </w:rPr>
      </w:pP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z w:val="28"/>
        </w:rPr>
        <w:t>市（州）名称</w:t>
      </w:r>
      <w:r>
        <w:rPr>
          <w:rFonts w:ascii="Times New Roman" w:hAnsi="Times New Roman" w:eastAsia="黑体"/>
          <w:spacing w:val="38"/>
          <w:sz w:val="28"/>
        </w:rPr>
        <w:t>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      </w:t>
      </w:r>
      <w:r>
        <w:rPr>
          <w:rFonts w:hint="eastAsia" w:ascii="Times New Roman" w:hAnsi="Times New Roman" w:eastAsia="黑体"/>
          <w:spacing w:val="20"/>
          <w:sz w:val="28"/>
          <w:u w:val="single"/>
          <w:lang w:val="en-US" w:eastAsia="zh-CN"/>
        </w:rPr>
        <w:t xml:space="preserve">       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</w:t>
      </w: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  <w:u w:val="single"/>
        </w:rPr>
      </w:pPr>
      <w:r>
        <w:rPr>
          <w:rFonts w:ascii="Times New Roman" w:hAnsi="Times New Roman" w:eastAsia="黑体"/>
          <w:spacing w:val="20"/>
          <w:sz w:val="28"/>
        </w:rPr>
        <w:t>推荐单位：</w:t>
      </w:r>
      <w:r>
        <w:rPr>
          <w:rFonts w:ascii="Times New Roman" w:hAnsi="Times New Roman" w:eastAsia="黑体"/>
          <w:spacing w:val="20"/>
          <w:sz w:val="28"/>
          <w:u w:val="single"/>
        </w:rPr>
        <w:t>（</w:t>
      </w:r>
      <w:r>
        <w:rPr>
          <w:rFonts w:ascii="Times New Roman" w:hAnsi="Times New Roman" w:eastAsia="仿宋_GB2312"/>
          <w:spacing w:val="20"/>
          <w:sz w:val="28"/>
          <w:u w:val="single"/>
        </w:rPr>
        <w:t>填写省级工业和信息化主管部门</w:t>
      </w:r>
      <w:r>
        <w:rPr>
          <w:rFonts w:ascii="Times New Roman" w:hAnsi="Times New Roman" w:eastAsia="黑体"/>
          <w:spacing w:val="20"/>
          <w:sz w:val="28"/>
          <w:u w:val="single"/>
        </w:rPr>
        <w:t>）（盖章）</w:t>
      </w: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  <w:u w:val="single"/>
        </w:rPr>
      </w:pPr>
      <w:r>
        <w:rPr>
          <w:rFonts w:ascii="Times New Roman" w:hAnsi="Times New Roman" w:eastAsia="黑体"/>
          <w:spacing w:val="20"/>
          <w:sz w:val="28"/>
        </w:rPr>
        <w:t>联系人：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         </w:t>
      </w:r>
      <w:r>
        <w:rPr>
          <w:rFonts w:hint="eastAsia" w:ascii="Times New Roman" w:hAnsi="Times New Roman" w:eastAsia="黑体"/>
          <w:spacing w:val="20"/>
          <w:sz w:val="28"/>
          <w:u w:val="single"/>
          <w:lang w:val="en-US" w:eastAsia="zh-CN"/>
        </w:rPr>
        <w:t xml:space="preserve">  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</w:t>
      </w:r>
    </w:p>
    <w:p>
      <w:pPr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pacing w:val="20"/>
          <w:sz w:val="28"/>
        </w:rPr>
        <w:t>联系电话：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                </w:t>
      </w:r>
      <w:r>
        <w:rPr>
          <w:rFonts w:hint="eastAsia" w:ascii="Times New Roman" w:hAnsi="Times New Roman" w:eastAsia="黑体"/>
          <w:spacing w:val="20"/>
          <w:sz w:val="28"/>
          <w:u w:val="single"/>
          <w:lang w:val="en-US" w:eastAsia="zh-CN"/>
        </w:rPr>
        <w:t xml:space="preserve">   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</w:t>
      </w:r>
    </w:p>
    <w:p>
      <w:pPr>
        <w:tabs>
          <w:tab w:val="left" w:pos="6840"/>
          <w:tab w:val="left" w:pos="7200"/>
        </w:tabs>
        <w:spacing w:line="240" w:lineRule="auto"/>
        <w:ind w:left="630" w:leftChars="300"/>
        <w:jc w:val="left"/>
        <w:rPr>
          <w:rFonts w:ascii="Times New Roman" w:hAnsi="Times New Roman" w:eastAsia="黑体"/>
          <w:spacing w:val="20"/>
          <w:sz w:val="28"/>
        </w:rPr>
      </w:pPr>
      <w:r>
        <w:rPr>
          <w:rFonts w:ascii="Times New Roman" w:hAnsi="Times New Roman" w:eastAsia="黑体"/>
          <w:spacing w:val="60"/>
          <w:sz w:val="28"/>
        </w:rPr>
        <w:t>填报日期：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</w:t>
      </w:r>
      <w:r>
        <w:rPr>
          <w:rFonts w:ascii="Times New Roman" w:hAnsi="Times New Roman" w:eastAsia="黑体"/>
          <w:spacing w:val="20"/>
          <w:sz w:val="28"/>
        </w:rPr>
        <w:t xml:space="preserve"> 年 </w:t>
      </w:r>
      <w:r>
        <w:rPr>
          <w:rFonts w:ascii="Times New Roman" w:hAnsi="Times New Roman" w:eastAsia="黑体"/>
          <w:spacing w:val="20"/>
          <w:sz w:val="28"/>
          <w:u w:val="single"/>
        </w:rPr>
        <w:t xml:space="preserve">          </w:t>
      </w:r>
      <w:r>
        <w:rPr>
          <w:rFonts w:ascii="Times New Roman" w:hAnsi="Times New Roman" w:eastAsia="黑体"/>
          <w:spacing w:val="20"/>
          <w:sz w:val="28"/>
        </w:rPr>
        <w:t xml:space="preserve"> 月</w:t>
      </w:r>
    </w:p>
    <w:p>
      <w:pPr>
        <w:tabs>
          <w:tab w:val="left" w:pos="6840"/>
          <w:tab w:val="left" w:pos="7200"/>
        </w:tabs>
        <w:spacing w:line="240" w:lineRule="auto"/>
        <w:ind w:left="945" w:leftChars="450"/>
        <w:jc w:val="left"/>
        <w:rPr>
          <w:rFonts w:ascii="Times New Roman" w:hAnsi="Times New Roman" w:eastAsia="黑体"/>
          <w:spacing w:val="20"/>
          <w:sz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2"/>
        <w:gridCol w:w="3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102" w:type="dxa"/>
            <w:noWrap w:val="0"/>
            <w:vAlign w:val="center"/>
          </w:tcPr>
          <w:p>
            <w:pPr>
              <w:snapToGrid w:val="0"/>
              <w:spacing w:afterLines="0" w:line="240" w:lineRule="auto"/>
              <w:jc w:val="center"/>
              <w:rPr>
                <w:rFonts w:hint="eastAsia" w:ascii="Times New Roman" w:hAnsi="Times New Roman" w:eastAsia="黑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是否报请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省（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自治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区、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直辖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市）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人民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政府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新疆生产建设兵团</w:t>
            </w:r>
            <w:r>
              <w:rPr>
                <w:rFonts w:hint="eastAsia" w:ascii="Times New Roman" w:hAnsi="Times New Roman" w:eastAsia="黑体" w:cs="Times New Roman"/>
                <w:sz w:val="24"/>
                <w:szCs w:val="24"/>
                <w:lang w:eastAsia="zh-CN"/>
              </w:rPr>
              <w:t>同意</w:t>
            </w:r>
          </w:p>
        </w:tc>
        <w:tc>
          <w:tcPr>
            <w:tcW w:w="341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</w:p>
        </w:tc>
      </w:tr>
    </w:tbl>
    <w:p>
      <w:pPr>
        <w:spacing w:line="240" w:lineRule="auto"/>
        <w:jc w:val="center"/>
        <w:rPr>
          <w:rFonts w:ascii="Times New Roman" w:hAnsi="Times New Roman" w:eastAsia="黑体"/>
          <w:sz w:val="28"/>
        </w:rPr>
      </w:pPr>
    </w:p>
    <w:p>
      <w:pPr>
        <w:spacing w:line="240" w:lineRule="auto"/>
        <w:rPr>
          <w:rFonts w:ascii="Times New Roman" w:hAnsi="Times New Roman" w:eastAsia="黑体"/>
          <w:sz w:val="28"/>
        </w:rPr>
      </w:pPr>
    </w:p>
    <w:p>
      <w:pPr>
        <w:pStyle w:val="2"/>
        <w:rPr>
          <w:rFonts w:ascii="Times New Roman" w:hAnsi="Times New Roman" w:eastAsia="黑体"/>
          <w:sz w:val="28"/>
        </w:rPr>
      </w:pPr>
    </w:p>
    <w:p>
      <w:pPr>
        <w:pStyle w:val="3"/>
        <w:rPr>
          <w:rFonts w:ascii="Times New Roman" w:hAnsi="Times New Roman" w:eastAsia="黑体"/>
          <w:sz w:val="28"/>
        </w:rPr>
      </w:pPr>
    </w:p>
    <w:p>
      <w:pPr>
        <w:pStyle w:val="3"/>
        <w:rPr>
          <w:rFonts w:ascii="Times New Roman" w:hAnsi="Times New Roman" w:eastAsia="黑体"/>
          <w:sz w:val="28"/>
        </w:rPr>
      </w:pPr>
    </w:p>
    <w:p>
      <w:pPr>
        <w:pStyle w:val="3"/>
        <w:rPr>
          <w:rFonts w:ascii="Times New Roman" w:hAnsi="Times New Roman" w:eastAsia="黑体"/>
          <w:sz w:val="28"/>
        </w:rPr>
      </w:pPr>
    </w:p>
    <w:p>
      <w:pPr>
        <w:spacing w:line="240" w:lineRule="auto"/>
        <w:jc w:val="center"/>
        <w:rPr>
          <w:rFonts w:ascii="Times New Roman" w:hAnsi="Times New Roman" w:eastAsia="黑体"/>
          <w:sz w:val="28"/>
        </w:rPr>
      </w:pPr>
    </w:p>
    <w:p>
      <w:pPr>
        <w:jc w:val="center"/>
        <w:rPr>
          <w:rFonts w:ascii="Times New Roman" w:hAnsi="Times New Roman" w:eastAsia="黑体"/>
          <w:sz w:val="30"/>
        </w:rPr>
      </w:pPr>
      <w:r>
        <w:rPr>
          <w:rFonts w:ascii="Times New Roman" w:hAnsi="Times New Roman" w:eastAsia="黑体"/>
          <w:sz w:val="30"/>
        </w:rPr>
        <w:t>工 业 和 信 息 化 部 制</w:t>
      </w:r>
    </w:p>
    <w:p>
      <w:pPr>
        <w:pStyle w:val="3"/>
        <w:rPr>
          <w:rFonts w:ascii="Times New Roman" w:hAnsi="Times New Roman" w:eastAsia="黑体"/>
          <w:sz w:val="30"/>
        </w:rPr>
      </w:pPr>
    </w:p>
    <w:p>
      <w:pPr>
        <w:pStyle w:val="3"/>
        <w:ind w:left="0" w:leftChars="0" w:firstLine="0" w:firstLineChars="0"/>
        <w:rPr>
          <w:rFonts w:ascii="Times New Roman" w:hAnsi="Times New Roman" w:eastAsia="黑体"/>
          <w:sz w:val="30"/>
        </w:rPr>
        <w:sectPr>
          <w:headerReference r:id="rId3" w:type="default"/>
          <w:footerReference r:id="rId4" w:type="default"/>
          <w:pgSz w:w="11906" w:h="16838"/>
          <w:pgMar w:top="1587" w:right="1474" w:bottom="147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27" w:charSpace="0"/>
        </w:sectPr>
      </w:pPr>
    </w:p>
    <w:p>
      <w:pPr>
        <w:pStyle w:val="3"/>
        <w:ind w:left="0" w:leftChars="0" w:firstLine="0" w:firstLineChars="0"/>
        <w:rPr>
          <w:rFonts w:ascii="Times New Roman" w:hAnsi="Times New Roman" w:eastAsia="黑体"/>
          <w:sz w:val="30"/>
        </w:rPr>
      </w:pP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1594"/>
        <w:gridCol w:w="1445"/>
        <w:gridCol w:w="16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市（州）名称</w:t>
            </w:r>
          </w:p>
        </w:tc>
        <w:tc>
          <w:tcPr>
            <w:tcW w:w="466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both"/>
              <w:textAlignment w:val="auto"/>
              <w:outlineLvl w:val="9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0" w:line="240" w:lineRule="auto"/>
              <w:jc w:val="center"/>
              <w:textAlignment w:val="auto"/>
              <w:outlineLvl w:val="9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指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标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napToGrid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napToGrid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  <w:t>备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/>
                <w:color w:val="000000"/>
                <w:kern w:val="0"/>
                <w:sz w:val="24"/>
                <w:szCs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千兆光纤网络家庭覆盖率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%）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每万人拥有5G基站数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当年入选工业和信息化部人工智能产业创新任务揭榜挂帅项目、物联网示范项目之和（个）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当年被工业和信息化部评为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</w:rPr>
              <w:t>工业互联网试点示范项目</w:t>
            </w:r>
            <w:r>
              <w:rPr>
                <w:rFonts w:hint="eastAsia" w:ascii="Times New Roman" w:hAnsi="Times New Roman" w:eastAsia="仿宋_GB2312"/>
                <w:sz w:val="24"/>
                <w:highlight w:val="none"/>
                <w:lang w:eastAsia="zh-CN"/>
              </w:rPr>
              <w:t>数量（个）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当年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通过两化融合管理体系贯标评定企业数量（个）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当年被工业和信息化部认定为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</w:rPr>
              <w:t>跨行业跨领域工业互联网平台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数量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当年被工业和信息化部等十二个部委认定的网络安全技术应用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试点示范项目数量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当年通过数据安全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合规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评估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、参加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工业互联网安全深度行活动并实施网络安全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分类分级管理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  <w:t>的企业数量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spacing w:val="-6"/>
                <w:kern w:val="0"/>
                <w:sz w:val="24"/>
                <w:szCs w:val="24"/>
                <w:highlight w:val="none"/>
                <w:u w:val="none"/>
                <w:lang w:eastAsia="zh-CN" w:bidi="ar-SA"/>
              </w:rPr>
              <w:t>之和（个）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当年被工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业和信息化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部、发改委、财政部、市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  <w:lang w:eastAsia="zh-CN"/>
              </w:rPr>
              <w:t>场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监管总局评为智能制造示范工厂揭榜单位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数量</w:t>
            </w: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  <w:lang w:eastAsia="zh-CN"/>
              </w:rPr>
              <w:t>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  <w:t>当年被工业和信息化部、国家标准化管理委员会评为智能制造标准应用试点项目的数量（个）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 w:val="0"/>
              <w:spacing w:line="240" w:lineRule="auto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363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"/>
              </w:rPr>
              <w:t>当年获得“绽放杯”5G应用征集大赛全国奖、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highlight w:val="none"/>
                <w:lang w:bidi="ar"/>
              </w:rPr>
              <w:t>“光华杯”千兆光网应用创新大赛全国奖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sz w:val="24"/>
                <w:szCs w:val="24"/>
                <w:highlight w:val="none"/>
                <w:lang w:val="en-US" w:eastAsia="zh-CN" w:bidi="ar"/>
              </w:rPr>
              <w:t>数量之和（个）</w:t>
            </w:r>
          </w:p>
        </w:tc>
        <w:tc>
          <w:tcPr>
            <w:tcW w:w="15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3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widowControl/>
              <w:snapToGrid/>
              <w:spacing w:line="240" w:lineRule="auto"/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widowControl/>
        <w:snapToGrid w:val="0"/>
        <w:textAlignment w:val="center"/>
        <w:outlineLvl w:val="9"/>
        <w:rPr>
          <w:rFonts w:hint="eastAsia" w:ascii="楷体_GB2312" w:hAnsi="楷体_GB2312" w:eastAsia="楷体_GB2312" w:cs="楷体_GB2312"/>
          <w:color w:val="auto"/>
          <w:spacing w:val="-6"/>
          <w:kern w:val="0"/>
          <w:sz w:val="22"/>
          <w:szCs w:val="22"/>
          <w:highlight w:val="none"/>
          <w:u w:val="none"/>
          <w:lang w:eastAsia="zh-CN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</w:t>
      </w:r>
      <w:r>
        <w:rPr>
          <w:rFonts w:hint="default" w:ascii="Times New Roman" w:hAnsi="Times New Roman" w:eastAsia="黑体" w:cs="Times New Roman"/>
          <w:color w:val="000000"/>
          <w:kern w:val="0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请提供全年数据，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如果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全年数据还未确定，可填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写2022年1-11月份数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据，并在备注列注明。</w:t>
      </w:r>
    </w:p>
    <w:p>
      <w:pPr>
        <w:snapToGrid w:val="0"/>
        <w:rPr>
          <w:sz w:val="2"/>
          <w:szCs w:val="2"/>
        </w:rPr>
      </w:pPr>
    </w:p>
    <w:p>
      <w:bookmarkStart w:id="0" w:name="_GoBack"/>
      <w:bookmarkEnd w:id="0"/>
    </w:p>
    <w:sectPr>
      <w:headerReference r:id="rId5" w:type="default"/>
      <w:footerReference r:id="rId6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t>3</w:t>
    </w:r>
    <w:r>
      <w:rPr>
        <w:rFonts w:ascii="Times New Roman" w:hAnsi="Times New Roman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t>3</w:t>
    </w:r>
    <w:r>
      <w:rPr>
        <w:rFonts w:ascii="Times New Roman" w:hAnsi="Times New Roman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2B95"/>
    <w:rsid w:val="55F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rFonts w:ascii="Times New Roman" w:hAnsi="Times New Roman"/>
      <w:sz w:val="30"/>
    </w:rPr>
  </w:style>
  <w:style w:type="paragraph" w:styleId="3">
    <w:name w:val="Body Text First Indent 2"/>
    <w:basedOn w:val="4"/>
    <w:uiPriority w:val="0"/>
    <w:pPr>
      <w:widowControl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4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kern w:val="2"/>
      <w:sz w:val="30"/>
      <w:lang w:val="en-US" w:eastAsia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2022-12-06T09:24:00Z</dcterms:created>
  <dc:creator>kylin</dc:creator>
  <cp:lastModifiedBy>kylin</cp:lastModifiedBy>
  <dcterms:modified xsi:type="dcterms:W3CDTF">2022-12-06T09:25:17Z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9CD39E14FED24F2BD2998E63750505FF</vt:lpwstr>
  </property>
</Properties>
</file>